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4" w:rsidRPr="00296525" w:rsidRDefault="004D1604" w:rsidP="004D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9652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FD27902" wp14:editId="587930B2">
            <wp:extent cx="54102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Україна</w:t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МЕНСЬКА МІСЬКА РАДА</w:t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Менського району Чернігівської області</w:t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2965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_________________________</w:t>
      </w: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сесія сьомого скликання )</w:t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ПРОЄКТ РІШЕННЯ</w:t>
      </w:r>
    </w:p>
    <w:p w:rsidR="004D1604" w:rsidRPr="00296525" w:rsidRDefault="004D1604" w:rsidP="004D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D1604" w:rsidRPr="00296525" w:rsidRDefault="00546EF4" w:rsidP="004D1604">
      <w:pPr>
        <w:tabs>
          <w:tab w:val="left" w:pos="4253"/>
          <w:tab w:val="left" w:pos="76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</w:t>
      </w:r>
      <w:r w:rsidR="004D1604"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2020 року</w:t>
      </w:r>
      <w:r w:rsidR="004D1604"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№</w:t>
      </w:r>
      <w:r w:rsidR="004D1604"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м. Мена</w:t>
      </w:r>
    </w:p>
    <w:p w:rsidR="004D1604" w:rsidRPr="00296525" w:rsidRDefault="004D1604" w:rsidP="004D1604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ставок орендної плати за земельні ділянки на території Менської ОТГ</w:t>
      </w:r>
    </w:p>
    <w:p w:rsidR="004D1604" w:rsidRPr="00296525" w:rsidRDefault="004D1604" w:rsidP="004D1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подальшого соціально-економічного розвитку Менської міської об’єднаної </w:t>
      </w:r>
      <w:r w:rsidR="00A10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</w:t>
      </w: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громади, впорядкування нормативного </w:t>
      </w:r>
      <w:proofErr w:type="spellStart"/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уточнення видів діяльності відповідно до Класифікації видів цільового призначення земель, затвердженого наказом Державного комітету України із земельних</w:t>
      </w:r>
      <w:r w:rsidR="00A10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ресурсів від 23.07.2010 № 548 зі змінами та доповненнями</w:t>
      </w: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керуючись п. 24 ч. 1 ст. 26 Закону України «Про місцеве самоврядування в Україні», Податковим кодексом України,  Законом України «Про оренду землі»</w:t>
      </w:r>
      <w:r w:rsidRPr="002965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Менська міська рада</w:t>
      </w:r>
    </w:p>
    <w:p w:rsidR="004D1604" w:rsidRPr="00296525" w:rsidRDefault="004D1604" w:rsidP="004D1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9652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ВИРІШИЛА:</w:t>
      </w:r>
    </w:p>
    <w:p w:rsidR="004D1604" w:rsidRPr="00296525" w:rsidRDefault="004D1604" w:rsidP="004D160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ставки орендної плати за земельні ділянки на території Менської міської об’єднаної територіальної громади, згідно з додатком 1 та ввести їх в дію з дати прийняття цього рішення (</w:t>
      </w:r>
      <w:r w:rsidRPr="00296525">
        <w:rPr>
          <w:rFonts w:ascii="Times New Roman" w:hAnsi="Times New Roman" w:cs="Times New Roman"/>
          <w:sz w:val="28"/>
          <w:szCs w:val="28"/>
        </w:rPr>
        <w:t>розмір орендної плати встановлений з урахуванням вимог пункту 288.5. статті 288 Податкового кодексу України).</w:t>
      </w:r>
    </w:p>
    <w:p w:rsidR="004D1604" w:rsidRPr="00296525" w:rsidRDefault="004D1604" w:rsidP="004D1604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4D1604" w:rsidRPr="00296525" w:rsidRDefault="004D1604" w:rsidP="004D160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випадку, коли земельна ділянка використовується за декількома функціональними напрямками, ставка орендної плати дорівнює більшій з напрямків, за якими використовується земельна ділянка.</w:t>
      </w:r>
    </w:p>
    <w:p w:rsidR="004D1604" w:rsidRPr="00296525" w:rsidRDefault="004D1604" w:rsidP="004D160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D1604" w:rsidRPr="00296525" w:rsidRDefault="004D1604" w:rsidP="004D1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</w:t>
      </w:r>
      <w:r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 xml:space="preserve">Відділу </w:t>
      </w: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земельних відносин при переукладанні, поновленні тощо договорів оренди землі застосовувати ставки відповідно до цього рішення.</w:t>
      </w:r>
    </w:p>
    <w:p w:rsidR="004D1604" w:rsidRDefault="004D1604" w:rsidP="004D16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296525">
        <w:rPr>
          <w:rFonts w:ascii="Times New Roman" w:hAnsi="Times New Roman" w:cs="Times New Roman"/>
          <w:sz w:val="28"/>
          <w:szCs w:val="28"/>
        </w:rPr>
        <w:tab/>
        <w:t>Плата за суборенду земельних ділянок не може перевищувати орендної плати.</w:t>
      </w:r>
    </w:p>
    <w:p w:rsidR="000317A5" w:rsidRDefault="000317A5" w:rsidP="000317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03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7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0317A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виключних випадках, за пропозицією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постійної комісії міської ради</w:t>
      </w:r>
      <w:r w:rsidRPr="0003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містобудування, будівництва, земельних відносин та охорони природи,</w:t>
      </w:r>
      <w:r w:rsidRPr="000317A5">
        <w:t xml:space="preserve"> </w:t>
      </w:r>
      <w:r w:rsidRPr="00031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суб’єктів господарювання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здійснюють стратегічно важливу для інтересів міста діяльність, розмір орендної плати може бути зменшений за окремим рішенням міської ради.</w:t>
      </w:r>
    </w:p>
    <w:p w:rsidR="002D321F" w:rsidRPr="000317A5" w:rsidRDefault="002D321F" w:rsidP="000317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D321F">
        <w:t xml:space="preserve"> </w:t>
      </w:r>
      <w:r w:rsidRPr="002D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орендної плати може бути змінена в разі зміни (повторного проведення) нормативної грошової оцінки земельної ділянки, в тому числі запровадженн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нового коефіцієнта індексації</w:t>
      </w:r>
      <w:r w:rsidRPr="002D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 разі встановлення нових ставок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604" w:rsidRPr="00296525" w:rsidRDefault="002D321F" w:rsidP="004D1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4D1604"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D1604"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 xml:space="preserve">Рішення 27 сесії 6 скликання </w:t>
      </w:r>
      <w:r w:rsidR="00532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Менської міської ради </w:t>
      </w:r>
      <w:r w:rsidR="004D1604"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28.06.2013 р «Про орендну плату за земельні ділянки» вважати таким, що втратило чинність.</w:t>
      </w:r>
    </w:p>
    <w:p w:rsidR="004D1604" w:rsidRPr="00296525" w:rsidRDefault="002D321F" w:rsidP="004D16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4D1604"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D1604" w:rsidRPr="00296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Рішення набуває чинності з дати прийняття.</w:t>
      </w:r>
    </w:p>
    <w:p w:rsidR="004D1604" w:rsidRPr="00296525" w:rsidRDefault="002D321F" w:rsidP="004D1604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031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D1604"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Контроль за виконанням рішення покласти на постійну комісію з питань містобудування, будівництва, земельних відносин та охорони природи.</w:t>
      </w:r>
    </w:p>
    <w:p w:rsidR="004D1604" w:rsidRPr="00296525" w:rsidRDefault="004D1604" w:rsidP="004D1604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604" w:rsidRPr="00296525" w:rsidRDefault="004D1604" w:rsidP="004D1604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9652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Міський голова</w:t>
      </w:r>
      <w:r w:rsidRPr="0029652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ab/>
        <w:t>Г.А. Примаков</w:t>
      </w:r>
    </w:p>
    <w:p w:rsidR="004D1604" w:rsidRPr="00296525" w:rsidRDefault="00296525" w:rsidP="00B06F2F">
      <w:pPr>
        <w:spacing w:after="0" w:line="240" w:lineRule="auto"/>
        <w:ind w:left="4820" w:firstLine="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96525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br w:type="column"/>
      </w:r>
      <w:r w:rsidR="004D1604" w:rsidRPr="00296525"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>Додаток 1</w:t>
      </w:r>
      <w:r w:rsidRPr="0029652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296525">
        <w:rPr>
          <w:rFonts w:ascii="Times New Roman" w:hAnsi="Times New Roman" w:cs="Times New Roman"/>
          <w:sz w:val="20"/>
          <w:szCs w:val="20"/>
        </w:rPr>
        <w:t xml:space="preserve">до рішення ___ сесії Менської міської ради 7 скликання від __.___.2020 «Про затвердження ставок орендної плати за земельні ділянки на території Менської </w:t>
      </w:r>
      <w:r w:rsidR="00B06F2F">
        <w:rPr>
          <w:rFonts w:ascii="Times New Roman" w:hAnsi="Times New Roman" w:cs="Times New Roman"/>
          <w:sz w:val="20"/>
          <w:szCs w:val="20"/>
        </w:rPr>
        <w:t xml:space="preserve">міської ОТГ» </w:t>
      </w:r>
      <w:r w:rsidR="004D1604" w:rsidRPr="00296525">
        <w:rPr>
          <w:rFonts w:ascii="Times New Roman" w:eastAsia="Times New Roman" w:hAnsi="Times New Roman" w:cs="Times New Roman"/>
          <w:sz w:val="20"/>
          <w:szCs w:val="20"/>
          <w:lang w:eastAsia="uk-UA"/>
        </w:rPr>
        <w:t>№____</w:t>
      </w:r>
    </w:p>
    <w:p w:rsidR="004D1604" w:rsidRPr="00296525" w:rsidRDefault="004D1604" w:rsidP="004D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96525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СТАВКИ</w:t>
      </w:r>
      <w:r w:rsidRPr="00296525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орендної плати за земельні ділянки </w:t>
      </w:r>
    </w:p>
    <w:p w:rsidR="004D1604" w:rsidRPr="00296525" w:rsidRDefault="004D1604" w:rsidP="004D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52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260"/>
        <w:gridCol w:w="1544"/>
        <w:gridCol w:w="5455"/>
      </w:tblGrid>
      <w:tr w:rsidR="004D1604" w:rsidRPr="00296525" w:rsidTr="00B14FD2">
        <w:tc>
          <w:tcPr>
            <w:tcW w:w="5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Код області</w:t>
            </w:r>
          </w:p>
        </w:tc>
        <w:tc>
          <w:tcPr>
            <w:tcW w:w="50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Код району</w:t>
            </w:r>
          </w:p>
        </w:tc>
        <w:tc>
          <w:tcPr>
            <w:tcW w:w="90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Код</w:t>
            </w:r>
            <w:r w:rsidRPr="0029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br/>
              <w:t>згідно з КОАТУУ</w:t>
            </w:r>
          </w:p>
        </w:tc>
        <w:tc>
          <w:tcPr>
            <w:tcW w:w="29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4D1604" w:rsidRPr="00296525" w:rsidTr="00B14FD2">
        <w:tc>
          <w:tcPr>
            <w:tcW w:w="55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04644</w:t>
            </w:r>
          </w:p>
        </w:tc>
        <w:tc>
          <w:tcPr>
            <w:tcW w:w="50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04061777</w:t>
            </w:r>
          </w:p>
        </w:tc>
        <w:tc>
          <w:tcPr>
            <w:tcW w:w="9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7423010100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7423081001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7423081501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7423085002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7423088502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7423081002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7423081801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7423081803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7423083501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7423084501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7423084504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7423084505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7423085003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7423085002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7423088503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7423085901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7423085905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7423085902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7423085904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7423055700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7423085004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7423087201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7423055701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7423088703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7423088701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7423087601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7423088001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7423088201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7423088501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7423089001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7423089501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7423088504</w:t>
            </w:r>
          </w:p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7423089002</w:t>
            </w:r>
          </w:p>
        </w:tc>
        <w:tc>
          <w:tcPr>
            <w:tcW w:w="295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352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Мена</w:t>
            </w:r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Блистова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Бірківка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Куковицьке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Дерепівка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</w:t>
            </w:r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Дягова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Киселівка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Комарівка</w:t>
            </w:r>
            <w:proofErr w:type="spellEnd"/>
          </w:p>
          <w:p w:rsidR="004D1604" w:rsidRPr="00296525" w:rsidRDefault="00B14FD2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Прогрес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Загорівка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Куковичі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Лазарівка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Ліски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Луки 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Майське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Максаки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смт.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Макошине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Овчарівка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Осьмаки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Нові Броди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Садове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Синявка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Слобідка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Стольне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Ушня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Феськівка</w:t>
            </w:r>
            <w:proofErr w:type="spellEnd"/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Чорногорці</w:t>
            </w:r>
          </w:p>
          <w:p w:rsidR="004D1604" w:rsidRPr="00296525" w:rsidRDefault="0033529B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r w:rsidR="004D1604" w:rsidRPr="00296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Дібровка  </w:t>
            </w:r>
          </w:p>
        </w:tc>
      </w:tr>
    </w:tbl>
    <w:p w:rsidR="004D1604" w:rsidRPr="00296525" w:rsidRDefault="004D1604" w:rsidP="004D1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652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4342"/>
        <w:gridCol w:w="3209"/>
        <w:gridCol w:w="850"/>
      </w:tblGrid>
      <w:tr w:rsidR="004D1604" w:rsidRPr="00296525" w:rsidTr="00B14FD2">
        <w:trPr>
          <w:tblHeader/>
        </w:trPr>
        <w:tc>
          <w:tcPr>
            <w:tcW w:w="28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27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Вид цільового призначення земель</w:t>
            </w:r>
          </w:p>
        </w:tc>
        <w:tc>
          <w:tcPr>
            <w:tcW w:w="2150" w:type="pct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27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Ставки орендної плати</w:t>
            </w:r>
          </w:p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(відсотків нормативної грошової оцінки)</w:t>
            </w:r>
          </w:p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земельні ділянки нормативну грошову оцінку яких проведено</w:t>
            </w:r>
          </w:p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(незалежно від місця знаходження)</w:t>
            </w:r>
          </w:p>
        </w:tc>
      </w:tr>
      <w:tr w:rsidR="004D1604" w:rsidRPr="00296525" w:rsidTr="00B14FD2">
        <w:trPr>
          <w:tblHeader/>
        </w:trPr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27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2250" w:type="pct"/>
            <w:shd w:val="clear" w:color="auto" w:fill="auto"/>
            <w:tcMar>
              <w:top w:w="60" w:type="dxa"/>
              <w:left w:w="60" w:type="dxa"/>
              <w:bottom w:w="60" w:type="dxa"/>
              <w:right w:w="27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D1604" w:rsidRPr="00296525" w:rsidTr="00B14FD2">
        <w:trPr>
          <w:tblHeader/>
        </w:trPr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01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сільськогосподарського призначення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ведення фермерського господарства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ведення особистого селянського господарства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ведення підсобного сільського господарства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індивідуального садівництва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колективного садівництва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городництва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сінокосіння і випасання худоби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дослідних і навчальних цілей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01.11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надання послуг у сільському господарстві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01.12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01.13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іншого сільськогосподарського призначення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01.14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01.01-01.13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02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житлової забудови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колективного житлового будівництва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індивідуальних гаражів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колективного гаражного будівництва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02.07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іншої житлової забудови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02.01-02.07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02.10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03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громадської забудови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органів державної влади та    місцевого самоврядування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торгівлі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03.11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будівель закладів побутового обслуговування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органів ДСНС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03.17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04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природно-заповідного фонду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ботанічних садів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зоологічних парків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парків – пам’яток садово-паркового мистецтва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заказників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заповідних урочищ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пам’яток природи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04.11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05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іншого природоохоронного призначення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Землі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06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>для профілактики захворювань і лікування людей)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06.01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06.02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розробки родовищ природних лікувальних ресурсів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06.03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інших оздоровчих цілей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06.04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06.01-06.03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07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рекреаційного призначення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07.01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07.02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07.03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індивідуального дачного будівництва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07.04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колективного дачного будівництва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07.05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07.01-07.04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08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історико-культурного призначення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08.01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забезпечення охорони об’єктів культурної спадщини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08.02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обслуговування музейних закладів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08.03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іншого історико-культурного призначення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08.04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08.01-08.03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lastRenderedPageBreak/>
              <w:t>09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лісогосподарського призначення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ведення лісового господарства і пов’язаних з ним послуг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іншого лісогосподарського призначення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09.01-09.02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водного фонду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експлуатації та догляду за водними об’єктами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експлуатації та догляду за смугами відведення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догляду за береговими смугами водних шляхів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сінокосіння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рибогосподарських потреб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проведення науково-дослідних робіт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10.11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10.12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10.01-10.11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–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промисловості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11.02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11.01-11.04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транспорту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12.09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12.10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12.01-12.09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зв’язку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13.05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енергетики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14.03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14.01-14.02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5,0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4450" w:type="pct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оборони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15.01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15.02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15.03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Для розміщення та постійної діяльності </w:t>
            </w:r>
            <w:proofErr w:type="spellStart"/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Держприкордонслужби</w:t>
            </w:r>
            <w:proofErr w:type="spellEnd"/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15.04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СБУ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15.05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Для розміщення та постійної діяльності </w:t>
            </w:r>
            <w:proofErr w:type="spellStart"/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Держспецтрансслужби</w:t>
            </w:r>
            <w:proofErr w:type="spellEnd"/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15.07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15.08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запасу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резервного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Землі загального користування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50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4000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Для цілей підрозділів 16-18 та для збереження та використання земель природно-заповідного фонду</w:t>
            </w:r>
          </w:p>
        </w:tc>
        <w:tc>
          <w:tcPr>
            <w:tcW w:w="450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3,0</w:t>
            </w:r>
          </w:p>
        </w:tc>
      </w:tr>
      <w:tr w:rsidR="004D1604" w:rsidRPr="00296525" w:rsidTr="00B14FD2">
        <w:tc>
          <w:tcPr>
            <w:tcW w:w="9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4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9652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1604" w:rsidRPr="00296525" w:rsidRDefault="004D1604" w:rsidP="00B1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FD2F96" w:rsidRDefault="00FD2F9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D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B2"/>
    <w:multiLevelType w:val="hybridMultilevel"/>
    <w:tmpl w:val="194E1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1D11"/>
    <w:multiLevelType w:val="hybridMultilevel"/>
    <w:tmpl w:val="99C237BE"/>
    <w:lvl w:ilvl="0" w:tplc="C97E5BCC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 w:tplc="29C4C44A">
      <w:start w:val="1"/>
      <w:numFmt w:val="lowerLetter"/>
      <w:lvlText w:val="%2."/>
      <w:lvlJc w:val="left"/>
      <w:pPr>
        <w:ind w:left="1506" w:hanging="359"/>
      </w:pPr>
    </w:lvl>
    <w:lvl w:ilvl="2" w:tplc="C2A6E3A4">
      <w:start w:val="1"/>
      <w:numFmt w:val="lowerRoman"/>
      <w:lvlText w:val="%3."/>
      <w:lvlJc w:val="right"/>
      <w:pPr>
        <w:ind w:left="2226" w:hanging="179"/>
      </w:pPr>
    </w:lvl>
    <w:lvl w:ilvl="3" w:tplc="8D601F56">
      <w:start w:val="1"/>
      <w:numFmt w:val="decimal"/>
      <w:lvlText w:val="%4."/>
      <w:lvlJc w:val="left"/>
      <w:pPr>
        <w:ind w:left="2946" w:hanging="359"/>
      </w:pPr>
    </w:lvl>
    <w:lvl w:ilvl="4" w:tplc="97F05270">
      <w:start w:val="1"/>
      <w:numFmt w:val="lowerLetter"/>
      <w:lvlText w:val="%5."/>
      <w:lvlJc w:val="left"/>
      <w:pPr>
        <w:ind w:left="3666" w:hanging="359"/>
      </w:pPr>
    </w:lvl>
    <w:lvl w:ilvl="5" w:tplc="2320D81C">
      <w:start w:val="1"/>
      <w:numFmt w:val="lowerRoman"/>
      <w:lvlText w:val="%6."/>
      <w:lvlJc w:val="right"/>
      <w:pPr>
        <w:ind w:left="4386" w:hanging="179"/>
      </w:pPr>
    </w:lvl>
    <w:lvl w:ilvl="6" w:tplc="3482B39C">
      <w:start w:val="1"/>
      <w:numFmt w:val="decimal"/>
      <w:lvlText w:val="%7."/>
      <w:lvlJc w:val="left"/>
      <w:pPr>
        <w:ind w:left="5106" w:hanging="359"/>
      </w:pPr>
    </w:lvl>
    <w:lvl w:ilvl="7" w:tplc="E0F25820">
      <w:start w:val="1"/>
      <w:numFmt w:val="lowerLetter"/>
      <w:lvlText w:val="%8."/>
      <w:lvlJc w:val="left"/>
      <w:pPr>
        <w:ind w:left="5826" w:hanging="359"/>
      </w:pPr>
    </w:lvl>
    <w:lvl w:ilvl="8" w:tplc="36942686">
      <w:start w:val="1"/>
      <w:numFmt w:val="lowerRoman"/>
      <w:lvlText w:val="%9."/>
      <w:lvlJc w:val="right"/>
      <w:pPr>
        <w:ind w:left="6546" w:hanging="17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04"/>
    <w:rsid w:val="000317A5"/>
    <w:rsid w:val="000B4B9B"/>
    <w:rsid w:val="001E67D8"/>
    <w:rsid w:val="002677D9"/>
    <w:rsid w:val="00296525"/>
    <w:rsid w:val="002B5A43"/>
    <w:rsid w:val="002D321F"/>
    <w:rsid w:val="0033529B"/>
    <w:rsid w:val="004D1604"/>
    <w:rsid w:val="00532D73"/>
    <w:rsid w:val="00546EF4"/>
    <w:rsid w:val="005C7173"/>
    <w:rsid w:val="005D7717"/>
    <w:rsid w:val="00616448"/>
    <w:rsid w:val="006F3DF3"/>
    <w:rsid w:val="00847DCE"/>
    <w:rsid w:val="008777EF"/>
    <w:rsid w:val="00A102CC"/>
    <w:rsid w:val="00B06F2F"/>
    <w:rsid w:val="00B14FD2"/>
    <w:rsid w:val="00B84F21"/>
    <w:rsid w:val="00C95C6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3D399-581C-4B3D-B3E3-8A71B360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04"/>
  </w:style>
  <w:style w:type="paragraph" w:styleId="1">
    <w:name w:val="heading 1"/>
    <w:basedOn w:val="a"/>
    <w:next w:val="a"/>
    <w:link w:val="10"/>
    <w:uiPriority w:val="99"/>
    <w:qFormat/>
    <w:rsid w:val="00296525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6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96525"/>
    <w:rPr>
      <w:rFonts w:ascii="Times New Roman" w:eastAsia="Times New Roman" w:hAnsi="Times New Roman" w:cs="Times New Roman"/>
      <w:b/>
      <w:sz w:val="32"/>
      <w:lang w:eastAsia="ru-RU"/>
    </w:rPr>
  </w:style>
  <w:style w:type="paragraph" w:customStyle="1" w:styleId="a4">
    <w:name w:val="Титулка"/>
    <w:basedOn w:val="a"/>
    <w:uiPriority w:val="99"/>
    <w:rsid w:val="002965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b/>
      <w:sz w:val="28"/>
      <w:lang w:eastAsia="ar-SA"/>
    </w:rPr>
  </w:style>
  <w:style w:type="character" w:styleId="a5">
    <w:name w:val="Hyperlink"/>
    <w:basedOn w:val="a0"/>
    <w:uiPriority w:val="99"/>
    <w:unhideWhenUsed/>
    <w:rsid w:val="00877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9241</Words>
  <Characters>5268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2020-02-06T09:51:00Z</dcterms:created>
  <dcterms:modified xsi:type="dcterms:W3CDTF">2020-02-06T09:52:00Z</dcterms:modified>
</cp:coreProperties>
</file>